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省属企业负责人薪酬信息披露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省委、省政府关于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省管企业负责人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薪酬制度改革实施方案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的规定，现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将本公司企业负责人2024年度薪酬及2022-2024年任期激励收入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4" w:firstLineChars="198"/>
        <w:jc w:val="right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单位：万元</w:t>
      </w:r>
    </w:p>
    <w:tbl>
      <w:tblPr>
        <w:tblStyle w:val="3"/>
        <w:tblW w:w="131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85"/>
        <w:gridCol w:w="2456"/>
        <w:gridCol w:w="722"/>
        <w:gridCol w:w="2465"/>
        <w:gridCol w:w="985"/>
        <w:gridCol w:w="1547"/>
        <w:gridCol w:w="1322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职务</w:t>
            </w:r>
          </w:p>
        </w:tc>
        <w:tc>
          <w:tcPr>
            <w:tcW w:w="24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任职起止时间</w:t>
            </w:r>
          </w:p>
        </w:tc>
        <w:tc>
          <w:tcPr>
            <w:tcW w:w="4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202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  <w:t>4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年度从本公司获得的税前薪酬情况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任期激励收入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(2022年-202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eastAsia="zh-CN" w:bidi="ar"/>
              </w:rPr>
              <w:t>4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年)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是否在股东单位或其他关联方领取薪酬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在关联方领取的税前总薪酬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应付年薪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社会保险、企业年金、补充医疗保险及住房公积金的单位缴纳（存）部分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其他货币性收入</w:t>
            </w: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张宝才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党委书记、董事长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2024年2月至2024年12月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70.99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侯军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党委书记、董事长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2015年11月至2024年1月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29.42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迟明杰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党委副书记、董事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2024年2月至2024年12月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57.61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陈向阳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党委常委、董事、副总经理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2009年7月至2024年12月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62.99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党委常委、纪委书记、监察专员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2017年1月至2024年12月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王鸿飞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党委常委、副总经理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2020年8月至2024年12月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62.16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王向东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党委常委、副总经理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2024年10月至2024年12月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陶登奎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党委副书记、总经理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2015年11月至2023年5月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苏斌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党委副书记、董事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2010年9月至2022年11月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10.35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刘秀元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党委常委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2016年12月至2023年2月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vertAlign w:val="baseline"/>
        </w:rPr>
        <w:t>上表披露的薪酬为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vertAlign w:val="baseline"/>
          <w:lang w:eastAsia="zh-CN"/>
        </w:rPr>
        <w:t>本公司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vertAlign w:val="baseline"/>
        </w:rPr>
        <w:t>企业负责人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vertAlign w:val="baseline"/>
          <w:lang w:eastAsia="zh-CN"/>
        </w:rPr>
        <w:t>报告期内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vertAlign w:val="baseline"/>
        </w:rPr>
        <w:t>全部应发税前薪酬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vertAlign w:val="baseline"/>
          <w:lang w:eastAsia="zh-CN"/>
        </w:rPr>
        <w:t>及任期激励收入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vertAlign w:val="baseline"/>
        </w:rPr>
        <w:t>（不含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vertAlign w:val="baseline"/>
          <w:lang w:val="en-US" w:eastAsia="zh-CN"/>
        </w:rPr>
        <w:t>2024年实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vertAlign w:val="baseline"/>
        </w:rPr>
        <w:t>际发放的以往年度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vertAlign w:val="baseline"/>
          <w:lang w:eastAsia="zh-CN"/>
        </w:rPr>
        <w:t>薪酬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vertAlign w:val="baseline"/>
        </w:rPr>
        <w:t>）。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9280" w:firstLineChars="29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山东钢铁集团有限公司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footerReference r:id="rId3" w:type="default"/>
      <w:pgSz w:w="16838" w:h="11906" w:orient="landscape"/>
      <w:pgMar w:top="1587" w:right="2098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Y2I5ZWVmMDZmZmYzYTUxODY2ZDEyYTc0OWMyNWIifQ=="/>
  </w:docVars>
  <w:rsids>
    <w:rsidRoot w:val="24602233"/>
    <w:rsid w:val="03EE6872"/>
    <w:rsid w:val="16204B85"/>
    <w:rsid w:val="1FA26E1B"/>
    <w:rsid w:val="233220BD"/>
    <w:rsid w:val="24602233"/>
    <w:rsid w:val="281F0C3D"/>
    <w:rsid w:val="2C9772B6"/>
    <w:rsid w:val="32213800"/>
    <w:rsid w:val="501F2372"/>
    <w:rsid w:val="6C3E0AE4"/>
    <w:rsid w:val="7CA5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2025-02-28T07:48:00Z</dcterms:created>
  <dc:creator>Administrator</dc:creator>
  <cp:lastModifiedBy>Administrator</cp:lastModifiedBy>
  <cp:lastPrinted>2026-03-06T06:34:00Z</cp:lastPrinted>
  <dcterms:modified xsi:type="dcterms:W3CDTF">2026-03-25T02:38:13Z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45327733432E4C0AB06B4DB4B9688FF4</vt:lpwstr>
  </property>
</Properties>
</file>